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>
          <w:rStyle w:val="Style8"/>
          <w:b w:val="false"/>
          <w:sz w:val="26"/>
          <w:szCs w:val="26"/>
        </w:rPr>
      </w:pPr>
      <w:r>
        <w:rPr>
          <w:rFonts w:eastAsia="Calibri"/>
          <w:b/>
          <w:sz w:val="26"/>
          <w:szCs w:val="26"/>
        </w:rPr>
        <w:t>«</w:t>
      </w:r>
      <w:r>
        <w:rPr>
          <w:rFonts w:eastAsia="Calibri"/>
          <w:color w:val="000000"/>
          <w:lang w:eastAsia="x-none"/>
        </w:rPr>
        <w:t>О</w:t>
      </w:r>
      <w:r>
        <w:rPr>
          <w:color w:val="000000"/>
        </w:rPr>
        <w:t xml:space="preserve">КПД 2: 42.91.20.190 Текущий ремонт </w:t>
      </w:r>
    </w:p>
    <w:p>
      <w:pPr>
        <w:pStyle w:val="Normal"/>
        <w:jc w:val="center"/>
        <w:rPr>
          <w:rStyle w:val="Style8"/>
          <w:b w:val="false"/>
          <w:sz w:val="26"/>
          <w:szCs w:val="26"/>
        </w:rPr>
      </w:pPr>
      <w:r>
        <w:rPr>
          <w:color w:val="000000"/>
        </w:rPr>
        <w:t>производственных зданий Загорской ГАЭС</w:t>
      </w:r>
      <w:r>
        <w:rPr>
          <w:rFonts w:eastAsia="Calibri"/>
          <w:b/>
          <w:i/>
        </w:rPr>
        <w:t>»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>
        <w:rPr>
          <w:rFonts w:eastAsia="Calibri"/>
          <w:b/>
          <w:sz w:val="26"/>
          <w:szCs w:val="26"/>
          <w:lang w:val="en-US"/>
        </w:rPr>
        <w:t xml:space="preserve"> </w:t>
      </w:r>
      <w:r>
        <w:rPr>
          <w:rFonts w:eastAsia="Calibri"/>
          <w:b/>
          <w:sz w:val="26"/>
          <w:szCs w:val="26"/>
          <w:highlight w:val="yellow"/>
          <w:lang w:val="en-US"/>
        </w:rPr>
        <w:t>__</w:t>
      </w:r>
      <w:r>
        <w:rPr>
          <w:rFonts w:eastAsia="Calibri"/>
          <w:b/>
          <w:sz w:val="26"/>
          <w:szCs w:val="26"/>
        </w:rPr>
        <w:t>-Рем-2026-ЗагГАЭС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54646395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</w:rPr>
              <w:t>Общие сведения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396">
            <w:r>
              <w:rPr>
                <w:webHidden/>
                <w:rStyle w:val="Style14"/>
                <w:iCs/>
                <w:vanish w:val="false"/>
              </w:rPr>
              <w:t>1.1.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Обозначения и сокращения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397">
            <w:r>
              <w:rPr>
                <w:webHidden/>
                <w:rStyle w:val="Style14"/>
                <w:iCs/>
                <w:vanish w:val="false"/>
              </w:rPr>
              <w:t>1.2.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Наименование закупаемой продукции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398">
            <w:r>
              <w:rPr>
                <w:webHidden/>
                <w:rStyle w:val="Style14"/>
                <w:iCs/>
                <w:vanish w:val="false"/>
              </w:rPr>
              <w:t>1.3.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Цель выполнения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0">
            <w:r>
              <w:rPr>
                <w:webHidden/>
                <w:rStyle w:val="Style14"/>
                <w:vanish w:val="false"/>
              </w:rPr>
              <w:t>Таблица 1. Перечень объектов заказчика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1">
            <w:r>
              <w:rPr>
                <w:webHidden/>
                <w:rStyle w:val="Style14"/>
                <w:iCs/>
                <w:vanish w:val="false"/>
              </w:rPr>
              <w:t>1.</w:t>
            </w:r>
            <w:r>
              <w:rPr>
                <w:rStyle w:val="Style14"/>
                <w:iCs/>
                <w:lang w:val="en-US"/>
              </w:rPr>
              <w:t>4</w:t>
            </w:r>
            <w:r>
              <w:rPr>
                <w:rStyle w:val="Style14"/>
                <w:iCs/>
              </w:rPr>
              <w:t>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3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rStyle w:val="Style1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4">
            <w:r>
              <w:rPr>
                <w:webHidden/>
                <w:rStyle w:val="Style14"/>
                <w:iCs/>
                <w:vanish w:val="false"/>
              </w:rPr>
              <w:t>2.1.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объемам и срокам выполнения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5">
            <w:r>
              <w:rPr>
                <w:webHidden/>
                <w:rStyle w:val="Style14"/>
                <w:vanish w:val="false"/>
              </w:rPr>
              <w:t>2.1.1.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видам и объемам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6">
            <w:r>
              <w:rPr>
                <w:webHidden/>
                <w:rStyle w:val="Style14"/>
                <w:vanish w:val="false"/>
              </w:rPr>
              <w:t>Таблица 2. Перечень и объем выполняемых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7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срокам выполнения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8">
            <w:r>
              <w:rPr>
                <w:webHidden/>
                <w:rStyle w:val="Style14"/>
                <w:vanish w:val="false"/>
              </w:rPr>
              <w:t>Таблица 3. Требования по срокам выполнения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9">
            <w:r>
              <w:rPr>
                <w:webHidden/>
                <w:rStyle w:val="Style14"/>
                <w:iCs/>
                <w:vanish w:val="false"/>
              </w:rPr>
              <w:t>2.2.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качеству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10">
            <w:r>
              <w:rPr>
                <w:webHidden/>
                <w:rStyle w:val="Style14"/>
                <w:vanish w:val="false"/>
              </w:rPr>
              <w:t>Таблица 4. Требования к качеству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11">
            <w:r>
              <w:rPr>
                <w:webHidden/>
                <w:rStyle w:val="Style14"/>
                <w:vanish w:val="false"/>
              </w:rPr>
              <w:t>3.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закупки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12">
            <w:r>
              <w:rPr>
                <w:webHidden/>
                <w:rStyle w:val="Style14"/>
                <w:vanish w:val="false"/>
              </w:rPr>
              <w:t>4.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заключения (исполнения) договора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13">
            <w:r>
              <w:rPr>
                <w:webHidden/>
                <w:rStyle w:val="Style14"/>
                <w:vanish w:val="false"/>
              </w:rPr>
              <w:t>5.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Приложения</w:t>
            </w:r>
            <w:r>
              <w:rPr>
                <w:rStyle w:val="Style1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lang w:val="en-US"/>
              </w:rPr>
              <w:t>18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  <w:lang w:val="en-US"/>
            </w:rPr>
            <w:fldChar w:fldCharType="end"/>
          </w:r>
        </w:p>
      </w:sdtContent>
    </w:sdt>
    <w:p>
      <w:pPr>
        <w:pStyle w:val="Heading2"/>
        <w:numPr>
          <w:ilvl w:val="0"/>
        </w:numPr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54646395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46743505"/>
      <w:bookmarkStart w:id="3" w:name="_Toc54646396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Cs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С</w:t>
            </w:r>
            <w:r>
              <w:rPr>
                <w:i/>
                <w:iCs/>
                <w:sz w:val="24"/>
                <w:szCs w:val="24"/>
              </w:rPr>
              <w:t>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‍</w:t>
            </w:r>
            <w:r>
              <w:rPr>
                <w:i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Межгосударственный стандарт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‍</w:t>
            </w:r>
            <w:r>
              <w:rPr>
                <w:i/>
                <w:color w:val="000000"/>
                <w:sz w:val="24"/>
                <w:szCs w:val="24"/>
              </w:rPr>
              <w:t>СО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КРУЭ‍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Комплектное распределительное устройство с элегазовой изоляцией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ГАЭС‍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Гидроаккумулирующая электрическая 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ДЭС‍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Дежурные электрики станции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ВОР‍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Ведомость объемов работ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4" w:name="_Toc54646397"/>
      <w:bookmarkStart w:id="5" w:name="_Toc46743506"/>
      <w:r>
        <w:rPr/>
        <w:t>Наименование закупаемой продукции</w:t>
      </w:r>
      <w:bookmarkEnd w:id="4"/>
      <w:bookmarkEnd w:id="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rStyle w:val="Style8"/>
          <w:b w:val="false"/>
          <w:bCs/>
          <w:i w:val="false"/>
          <w:i w:val="false"/>
          <w:sz w:val="24"/>
          <w:szCs w:val="24"/>
        </w:rPr>
      </w:pPr>
      <w:r>
        <w:rPr>
          <w:rFonts w:eastAsia="Calibri"/>
          <w:i/>
          <w:sz w:val="24"/>
          <w:szCs w:val="24"/>
          <w:lang w:eastAsia="x-none"/>
        </w:rPr>
        <w:t>«</w:t>
      </w:r>
      <w:r>
        <w:rPr>
          <w:i/>
          <w:iCs/>
          <w:color w:val="000000"/>
          <w:sz w:val="24"/>
          <w:szCs w:val="24"/>
        </w:rPr>
        <w:t>Текущий ремонт производственных зданий Загорской ГАЭС</w:t>
      </w:r>
      <w:r>
        <w:rPr>
          <w:i/>
          <w:iCs/>
          <w:sz w:val="24"/>
          <w:szCs w:val="24"/>
        </w:rPr>
        <w:t>»</w:t>
      </w:r>
      <w:r>
        <w:rPr>
          <w:rFonts w:eastAsia="Calibri"/>
          <w:i/>
          <w:iCs/>
          <w:sz w:val="24"/>
          <w:szCs w:val="24"/>
          <w:lang w:eastAsia="x-none"/>
        </w:rPr>
        <w:t>.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bookmarkStart w:id="6" w:name="_Toc54646398"/>
      <w:bookmarkStart w:id="7" w:name="_Toc46743507"/>
      <w:r>
        <w:rPr/>
        <w:t xml:space="preserve">Цель </w:t>
      </w:r>
      <w:bookmarkEnd w:id="7"/>
      <w:r>
        <w:rPr>
          <w:lang w:val="ru-RU"/>
        </w:rPr>
        <w:t>выполнения работ</w:t>
      </w:r>
      <w:r>
        <w:rPr/>
        <w:t xml:space="preserve"> </w:t>
      </w:r>
      <w:bookmarkEnd w:id="6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 w:val="false"/>
          <w:i w:val="false"/>
          <w:sz w:val="24"/>
          <w:szCs w:val="24"/>
        </w:rPr>
      </w:pPr>
      <w:r>
        <w:rPr>
          <w:rFonts w:eastAsia="Calibri"/>
          <w:bCs/>
          <w:i/>
          <w:iCs/>
          <w:sz w:val="24"/>
          <w:szCs w:val="24"/>
        </w:rPr>
        <w:t>Исполнение предписания об устранении нарушений обязательных требований пожарной безопасности № 2605/139-50/82-П//ПВП/1 от 29.05.2026: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 w:val="false"/>
          <w:i w:val="false"/>
          <w:sz w:val="24"/>
          <w:szCs w:val="24"/>
        </w:rPr>
      </w:pPr>
      <w:r>
        <w:rPr>
          <w:rFonts w:eastAsia="Calibri"/>
          <w:bCs/>
          <w:i/>
          <w:iCs/>
          <w:sz w:val="24"/>
          <w:szCs w:val="24"/>
        </w:rPr>
        <w:t>- п.5: технические помещения № 315, № 425, № 712, № 710-1, кабельной шахты № 12, архива 618/5 не выделены от примыкающих помещений ограждающими конструкциямис нормируемым пределом огнестоякости с заполнением проема соответствующего типа;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 w:val="false"/>
          <w:i w:val="false"/>
          <w:sz w:val="24"/>
          <w:szCs w:val="24"/>
        </w:rPr>
      </w:pPr>
      <w:r>
        <w:rPr>
          <w:rFonts w:eastAsia="Calibri"/>
          <w:bCs/>
          <w:i/>
          <w:iCs/>
          <w:sz w:val="24"/>
          <w:szCs w:val="24"/>
        </w:rPr>
        <w:t>- п.10: двери лестничной клетки типа Л-2 (на уровне этажей 5-7) не выполнены в противопожарном исполнении;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 w:val="false"/>
          <w:i w:val="false"/>
          <w:sz w:val="24"/>
          <w:szCs w:val="24"/>
        </w:rPr>
      </w:pPr>
      <w:r>
        <w:rPr>
          <w:rFonts w:eastAsia="Calibri"/>
          <w:bCs/>
          <w:i/>
          <w:iCs/>
          <w:sz w:val="24"/>
          <w:szCs w:val="24"/>
        </w:rPr>
        <w:t>- п.21: конструкция перехода между зданиями ГАЭС и зданием СПК при переходе в здание ГАЭС на уровне 2 этажа не отвечают требованиям, предъявляемым к противопожарным преградам;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 w:val="false"/>
          <w:i w:val="false"/>
          <w:sz w:val="24"/>
          <w:szCs w:val="24"/>
        </w:rPr>
      </w:pPr>
      <w:r>
        <w:rPr>
          <w:rFonts w:eastAsia="Calibri"/>
          <w:bCs/>
          <w:i/>
          <w:iCs/>
          <w:sz w:val="24"/>
          <w:szCs w:val="24"/>
        </w:rPr>
        <w:t>- п.29: в наружных стенах лестничных клеток типа Л1, не предусмотрены на каждом надземном этаже окна, открывающиеся изнутри без ключа и других специальных устройств (открывание должно обеспечиваться стационарной фурнитурой, в том числе в виде удлиненной штанги без применения автоматических и дистанционно-управляемых устройств). Устройства для открывания окон должны быть расположены не выше 1,7 м от уровня площадки лестничной клетки или пола этажа;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 w:val="false"/>
          <w:i w:val="false"/>
          <w:sz w:val="24"/>
          <w:szCs w:val="24"/>
        </w:rPr>
      </w:pPr>
      <w:r>
        <w:rPr>
          <w:rFonts w:eastAsia="Calibri"/>
          <w:bCs/>
          <w:i/>
          <w:iCs/>
          <w:sz w:val="24"/>
          <w:szCs w:val="24"/>
        </w:rPr>
        <w:t>- п.34; заполнение проемов противопожарной преграды, отделяющей административные помещения МВС от машинного зала водоприемника, не отвечает требованиям по пределу огнестоякости строительных конструкций (окна).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r>
        <w:rPr>
          <w:lang w:val="ru-RU"/>
        </w:rPr>
        <w:t>Задача выполнения работ</w:t>
      </w:r>
      <w:bookmarkStart w:id="8" w:name="_Toc54646398_Копия_1"/>
      <w:r>
        <w:rPr/>
        <w:t xml:space="preserve"> </w:t>
      </w:r>
      <w:bookmarkEnd w:id="8"/>
    </w:p>
    <w:p>
      <w:pPr>
        <w:pStyle w:val="Normal"/>
        <w:widowControl/>
        <w:suppressAutoHyphens w:val="true"/>
        <w:bidi w:val="0"/>
        <w:spacing w:before="0" w:after="0"/>
        <w:jc w:val="left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  <w:sz w:val="24"/>
        </w:rPr>
        <w:t>Замена дверей в производственных зданиях на противопожарные в количестве 10 шт.</w:t>
      </w:r>
    </w:p>
    <w:p>
      <w:pPr>
        <w:pStyle w:val="Normal"/>
        <w:widowControl w:val="false"/>
        <w:jc w:val="both"/>
        <w:rPr>
          <w:sz w:val="24"/>
        </w:rPr>
      </w:pPr>
      <w:r>
        <w:rPr>
          <w:sz w:val="24"/>
        </w:rPr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9" w:name="_Toc54646400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9"/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17"/>
        <w:gridCol w:w="2811"/>
        <w:gridCol w:w="2177"/>
        <w:gridCol w:w="1935"/>
        <w:gridCol w:w="2178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/>
            </w:pPr>
            <w:r>
              <w:rPr>
                <w:rStyle w:val="Style8"/>
                <w:b w:val="false"/>
                <w:bCs/>
                <w:iCs/>
                <w:color w:val="000000"/>
                <w:sz w:val="24"/>
                <w:szCs w:val="24"/>
                <w:shd w:fill="auto" w:val="clear"/>
              </w:rPr>
              <w:t>Текущий ремонт производственных зданий Загорской ГАЭС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Загорская гидроаккумулирующая электростанция (филиал ПАО «РусГидро»-  «Загорская ГАЭС»), Российская Федерация, Московская область, Сергиев-Посадский район, пгт Богородское, дом 100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Здание СПК (Служебно-производственный комплекс (ЗГ200564)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Водоприемник (ЗГ200566)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здание КРУЭ (900000000029)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Heading4"/>
        <w:numPr>
          <w:ilvl w:val="1"/>
          <w:numId w:val="3"/>
        </w:numPr>
        <w:spacing w:before="240" w:after="60"/>
        <w:ind w:left="431" w:hanging="431"/>
        <w:jc w:val="center"/>
        <w:rPr/>
      </w:pPr>
      <w:r>
        <w:rPr>
          <w:lang w:val="en-US"/>
        </w:rPr>
        <w:t>Существующее положение</w:t>
      </w:r>
    </w:p>
    <w:p>
      <w:pPr>
        <w:pStyle w:val="Normal"/>
        <w:ind w:right="-2" w:hanging="0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  <w:lang w:eastAsia="x-none"/>
        </w:rPr>
        <w:t xml:space="preserve">В ходе плановой выездной проверки по контролю за исполнением требований пожарной безопасности на объектах филиала ПАО </w:t>
      </w:r>
      <w:r>
        <w:rPr>
          <w:rFonts w:eastAsia="Times New Roman" w:cs="Times New Roman"/>
          <w:i/>
          <w:color w:val="auto"/>
          <w:kern w:val="0"/>
          <w:sz w:val="24"/>
          <w:szCs w:val="24"/>
          <w:lang w:val="ru-RU" w:eastAsia="x-none" w:bidi="ar-SA"/>
        </w:rPr>
        <w:t>«РусГидро» - «Загорской ГАЭС» выявлены нарушения в части несоответствия трбованиям пожарной безопасности ограждающих конструкций (дверей).</w:t>
      </w:r>
    </w:p>
    <w:p>
      <w:pPr>
        <w:pStyle w:val="Heading4"/>
        <w:numPr>
          <w:ilvl w:val="1"/>
          <w:numId w:val="3"/>
        </w:numPr>
        <w:rPr>
          <w:rStyle w:val="Style8"/>
          <w:b/>
          <w:i w:val="false"/>
          <w:i w:val="false"/>
          <w:shd w:fill="auto" w:val="clear"/>
        </w:rPr>
      </w:pPr>
      <w:r>
        <w:rPr/>
        <w:t xml:space="preserve">Информация в отношении исполнения договора, </w:t>
      </w:r>
      <w:bookmarkStart w:id="10" w:name="_Hlk46492347"/>
      <w:r>
        <w:rPr/>
        <w:t xml:space="preserve">которая должна быть учтена при подготовке заявки </w:t>
      </w:r>
      <w:bookmarkEnd w:id="10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r>
        <w:rPr>
          <w:lang w:val="ru-RU"/>
        </w:rPr>
        <w:t xml:space="preserve"> </w:t>
      </w:r>
      <w:bookmarkStart w:id="11" w:name="_Hlk48209761"/>
    </w:p>
    <w:p>
      <w:pPr>
        <w:pStyle w:val="Normal"/>
        <w:tabs>
          <w:tab w:val="clear" w:pos="708"/>
          <w:tab w:val="left" w:pos="851" w:leader="none"/>
          <w:tab w:val="left" w:pos="1276" w:leader="none"/>
        </w:tabs>
        <w:spacing w:before="0" w:after="0"/>
        <w:contextualSpacing/>
        <w:jc w:val="both"/>
        <w:rPr>
          <w:bCs/>
          <w:i/>
          <w:i/>
          <w:sz w:val="24"/>
          <w:szCs w:val="24"/>
        </w:rPr>
      </w:pPr>
      <w:bookmarkStart w:id="12" w:name="_Toc50125126"/>
      <w:bookmarkStart w:id="13" w:name="_Toc54646402"/>
      <w:bookmarkEnd w:id="11"/>
      <w:bookmarkEnd w:id="12"/>
      <w:bookmarkEnd w:id="13"/>
      <w:r>
        <w:rPr>
          <w:bCs/>
          <w:i/>
          <w:sz w:val="24"/>
          <w:szCs w:val="24"/>
        </w:rPr>
        <w:tab/>
      </w:r>
      <w:r>
        <w:rPr>
          <w:bCs/>
          <w:i/>
          <w:color w:val="000000" w:themeColor="text1"/>
          <w:sz w:val="24"/>
          <w:szCs w:val="24"/>
        </w:rPr>
        <w:t>Заказчик предоставляет подрядчику следующие виды ресурсов и изделий:</w:t>
      </w:r>
    </w:p>
    <w:p>
      <w:pPr>
        <w:pStyle w:val="Normal"/>
        <w:tabs>
          <w:tab w:val="clear" w:pos="708"/>
          <w:tab w:val="left" w:pos="851" w:leader="none"/>
          <w:tab w:val="left" w:pos="1276" w:leader="none"/>
        </w:tabs>
        <w:spacing w:before="0" w:after="0"/>
        <w:contextualSpacing/>
        <w:jc w:val="both"/>
        <w:rPr>
          <w:bCs/>
          <w:i/>
          <w:i/>
          <w:color w:val="000000" w:themeColor="text1"/>
          <w:sz w:val="24"/>
          <w:szCs w:val="24"/>
        </w:rPr>
      </w:pPr>
      <w:r>
        <w:rPr>
          <w:bCs/>
          <w:i/>
          <w:color w:val="000000" w:themeColor="text1"/>
          <w:sz w:val="24"/>
          <w:szCs w:val="24"/>
        </w:rPr>
        <w:t>1.1.</w:t>
        <w:tab/>
        <w:t>Электроэнергия.</w:t>
      </w:r>
    </w:p>
    <w:p>
      <w:pPr>
        <w:pStyle w:val="Normal"/>
        <w:tabs>
          <w:tab w:val="clear" w:pos="708"/>
          <w:tab w:val="left" w:pos="851" w:leader="none"/>
          <w:tab w:val="left" w:pos="1276" w:leader="none"/>
        </w:tabs>
        <w:spacing w:before="0" w:after="0"/>
        <w:contextualSpacing/>
        <w:jc w:val="both"/>
        <w:rPr>
          <w:bCs/>
          <w:i/>
          <w:i/>
          <w:color w:val="000000" w:themeColor="text1"/>
          <w:sz w:val="24"/>
          <w:szCs w:val="24"/>
        </w:rPr>
      </w:pPr>
      <w:r>
        <w:rPr>
          <w:bCs/>
          <w:i/>
          <w:color w:val="000000" w:themeColor="text1"/>
          <w:sz w:val="24"/>
          <w:szCs w:val="24"/>
        </w:rPr>
        <w:t>1.2.</w:t>
        <w:tab/>
        <w:t>Вода.</w:t>
      </w:r>
    </w:p>
    <w:p>
      <w:pPr>
        <w:pStyle w:val="Normal"/>
        <w:widowControl/>
        <w:tabs>
          <w:tab w:val="clear" w:pos="708"/>
          <w:tab w:val="left" w:pos="851" w:leader="none"/>
          <w:tab w:val="left" w:pos="1276" w:leader="none"/>
        </w:tabs>
        <w:suppressAutoHyphens w:val="true"/>
        <w:bidi w:val="0"/>
        <w:spacing w:before="0" w:after="0"/>
        <w:ind w:left="850" w:right="0" w:hanging="850"/>
        <w:contextualSpacing/>
        <w:jc w:val="both"/>
        <w:rPr>
          <w:bCs/>
          <w:i/>
          <w:i/>
          <w:color w:val="000000" w:themeColor="text1"/>
          <w:sz w:val="24"/>
          <w:szCs w:val="24"/>
        </w:rPr>
      </w:pPr>
      <w:r>
        <w:rPr>
          <w:bCs/>
          <w:i/>
          <w:color w:val="000000" w:themeColor="text1"/>
          <w:sz w:val="24"/>
          <w:szCs w:val="24"/>
        </w:rPr>
        <w:t>1.3.</w:t>
        <w:tab/>
        <w:t>Дверной блок металлический противопожарный размером 1000*2000 мм, классв EI-60 в количестве 2 шт.</w:t>
      </w:r>
    </w:p>
    <w:p>
      <w:pPr>
        <w:pStyle w:val="Normal"/>
        <w:tabs>
          <w:tab w:val="clear" w:pos="708"/>
          <w:tab w:val="left" w:pos="851" w:leader="none"/>
          <w:tab w:val="left" w:pos="1276" w:leader="none"/>
        </w:tabs>
        <w:spacing w:before="0" w:after="0"/>
        <w:contextualSpacing/>
        <w:jc w:val="both"/>
        <w:rPr>
          <w:bCs/>
          <w:i/>
          <w:i/>
          <w:sz w:val="24"/>
          <w:szCs w:val="24"/>
        </w:rPr>
      </w:pPr>
      <w:r>
        <w:rPr>
          <w:bCs/>
          <w:i/>
          <w:color w:val="000000" w:themeColor="text1"/>
          <w:sz w:val="24"/>
          <w:szCs w:val="24"/>
        </w:rPr>
        <w:t>2. Обеспечение содержания сторожевой охраны.</w:t>
      </w:r>
    </w:p>
    <w:p>
      <w:pPr>
        <w:pStyle w:val="Normal"/>
        <w:rPr>
          <w:bCs/>
          <w:i/>
          <w:i/>
          <w:color w:val="000000" w:themeColor="text1"/>
          <w:sz w:val="24"/>
          <w:szCs w:val="24"/>
        </w:rPr>
      </w:pPr>
      <w:r>
        <w:rPr>
          <w:bCs/>
          <w:i/>
          <w:color w:val="000000" w:themeColor="text1"/>
          <w:sz w:val="24"/>
          <w:szCs w:val="24"/>
        </w:rPr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4" w:name="_Toc54646403"/>
      <w:bookmarkStart w:id="15" w:name="_Toc51339693"/>
      <w:bookmarkStart w:id="16" w:name="_Toc54646402_Копия_1"/>
      <w:bookmarkEnd w:id="16"/>
      <w:r>
        <w:rPr>
          <w:iCs/>
        </w:rPr>
        <w:t>Требования к продукции</w:t>
      </w:r>
      <w:bookmarkEnd w:id="14"/>
      <w:bookmarkEnd w:id="15"/>
    </w:p>
    <w:p>
      <w:pPr>
        <w:pStyle w:val="Heading4"/>
        <w:numPr>
          <w:ilvl w:val="1"/>
          <w:numId w:val="3"/>
        </w:numPr>
        <w:rPr/>
      </w:pPr>
      <w:bookmarkStart w:id="17" w:name="_Toc54646404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7"/>
    </w:p>
    <w:p>
      <w:pPr>
        <w:pStyle w:val="Heading3"/>
        <w:numPr>
          <w:ilvl w:val="2"/>
          <w:numId w:val="3"/>
        </w:numPr>
        <w:rPr/>
      </w:pPr>
      <w:bookmarkStart w:id="18" w:name="_Toc54646405"/>
      <w:r>
        <w:rPr>
          <w:lang w:val="ru-RU"/>
        </w:rPr>
        <w:t>Требования к видам и объемам работ</w:t>
      </w:r>
      <w:bookmarkEnd w:id="18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19" w:name="_Toc54646406"/>
      <w:bookmarkStart w:id="20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0"/>
      <w:r>
        <w:rPr>
          <w:sz w:val="24"/>
          <w:szCs w:val="24"/>
          <w:lang w:val="ru-RU"/>
        </w:rPr>
        <w:t>и объем выполняемых работ</w:t>
      </w:r>
      <w:bookmarkEnd w:id="19"/>
    </w:p>
    <w:tbl>
      <w:tblPr>
        <w:tblW w:w="9952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29"/>
        <w:gridCol w:w="3732"/>
        <w:gridCol w:w="3547"/>
        <w:gridCol w:w="1843"/>
      </w:tblGrid>
      <w:tr>
        <w:trPr/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/ этапа работ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>
        <w:trPr/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iCs/>
                <w:sz w:val="24"/>
                <w:szCs w:val="24"/>
                <w:lang w:val="en-US"/>
              </w:rPr>
            </w:pPr>
            <w:r>
              <w:rPr>
                <w:b/>
                <w:i/>
                <w:iCs/>
                <w:sz w:val="24"/>
                <w:szCs w:val="24"/>
                <w:lang w:val="en-US"/>
              </w:rPr>
              <w:t>1.</w:t>
            </w:r>
          </w:p>
        </w:tc>
        <w:tc>
          <w:tcPr>
            <w:tcW w:w="3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6"/>
              <w:widowControl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Текущий ремонт производственных зданий Загорской ГАЭС в части замены дверей</w:t>
            </w:r>
          </w:p>
        </w:tc>
        <w:tc>
          <w:tcPr>
            <w:tcW w:w="5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Работы выполняются в соответствии с </w:t>
            </w:r>
            <w:r>
              <w:rPr>
                <w:rFonts w:eastAsia="Calibri"/>
                <w:i/>
                <w:sz w:val="24"/>
                <w:szCs w:val="24"/>
              </w:rPr>
              <w:t xml:space="preserve">ВОР «Замена дверных блоков в зданиях Загорской ГАЭС» </w:t>
            </w:r>
            <w:r>
              <w:rPr>
                <w:i/>
                <w:iCs/>
                <w:sz w:val="24"/>
                <w:szCs w:val="24"/>
              </w:rPr>
              <w:t>(</w:t>
            </w:r>
            <w:r>
              <w:rPr>
                <w:b/>
                <w:i/>
                <w:iCs/>
                <w:sz w:val="24"/>
                <w:szCs w:val="24"/>
              </w:rPr>
              <w:t>приложение 1 к настоящим ТТ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21" w:name="_Toc54646407"/>
      <w:bookmarkStart w:id="22" w:name="_Toc51339696"/>
      <w:r>
        <w:rPr>
          <w:lang w:val="ru-RU"/>
        </w:rPr>
        <w:t xml:space="preserve">Требования </w:t>
      </w:r>
      <w:bookmarkEnd w:id="22"/>
      <w:r>
        <w:rPr>
          <w:lang w:val="ru-RU"/>
        </w:rPr>
        <w:t>к срокам выполнения работ</w:t>
      </w:r>
      <w:bookmarkEnd w:id="21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3" w:name="_Toc54646408"/>
      <w:bookmarkStart w:id="24" w:name="_Toc50125127"/>
      <w:bookmarkStart w:id="25" w:name="_Toc51339697"/>
      <w:bookmarkStart w:id="26" w:name="_Toc50125126_Копия_1"/>
      <w:bookmarkEnd w:id="2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bookmarkEnd w:id="25"/>
      <w:bookmarkEnd w:id="27"/>
      <w:r>
        <w:rPr>
          <w:sz w:val="24"/>
          <w:szCs w:val="24"/>
          <w:lang w:val="ru-RU"/>
        </w:rPr>
        <w:t>выполнения работ</w:t>
      </w:r>
      <w:bookmarkEnd w:id="23"/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100" w:charSpace="0"/>
        </w:sectPr>
      </w:pP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3"/>
        <w:gridCol w:w="2547"/>
        <w:gridCol w:w="2982"/>
        <w:gridCol w:w="3113"/>
      </w:tblGrid>
      <w:tr>
        <w:trPr/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  <w:t>‍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6"/>
              <w:widowControl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Текущий ремонт здания СПК Загорской ГАЭС в части замены дверей</w:t>
            </w:r>
          </w:p>
        </w:tc>
        <w:tc>
          <w:tcPr>
            <w:tcW w:w="2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с даты следующей за датой заключения договора</w:t>
            </w: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19.03.2027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4" w:right="851" w:gutter="0" w:header="680" w:top="1134" w:footer="0" w:bottom="992"/>
          <w:formProt w:val="false"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3"/>
        </w:numPr>
        <w:rPr/>
      </w:pPr>
      <w:r>
        <w:rPr/>
        <w:t xml:space="preserve">Требования </w:t>
      </w:r>
      <w:bookmarkStart w:id="28" w:name="_Toc54646410"/>
      <w:r>
        <w:rPr/>
        <w:t xml:space="preserve">к </w:t>
      </w:r>
      <w:r>
        <w:rPr>
          <w:lang w:val="ru-RU"/>
        </w:rPr>
        <w:t>качеству работ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4.</w:t>
      </w:r>
      <w:bookmarkStart w:id="29" w:name="_Toc51339698"/>
      <w:r>
        <w:rPr>
          <w:sz w:val="24"/>
          <w:szCs w:val="24"/>
        </w:rPr>
        <w:t xml:space="preserve"> Требования к </w:t>
      </w:r>
      <w:bookmarkEnd w:id="29"/>
      <w:r>
        <w:rPr>
          <w:sz w:val="24"/>
          <w:szCs w:val="24"/>
          <w:lang w:val="ru-RU"/>
        </w:rPr>
        <w:t>качеству работ</w:t>
      </w:r>
      <w:bookmarkEnd w:id="28"/>
      <w:r>
        <w:rPr>
          <w:sz w:val="24"/>
          <w:szCs w:val="24"/>
        </w:rPr>
        <w:t xml:space="preserve"> </w:t>
      </w:r>
    </w:p>
    <w:p>
      <w:pPr>
        <w:pStyle w:val="Normal"/>
        <w:rPr>
          <w:rStyle w:val="Style8"/>
          <w:b w:val="false"/>
        </w:rPr>
      </w:pPr>
      <w:r>
        <w:rPr>
          <w:rStyle w:val="Style8"/>
          <w:b w:val="false"/>
        </w:rPr>
        <w:t xml:space="preserve"> </w:t>
      </w:r>
    </w:p>
    <w:p>
      <w:pPr>
        <w:pStyle w:val="Normal"/>
        <w:snapToGrid w:val="false"/>
        <w:spacing w:before="0" w:after="120"/>
        <w:rPr>
          <w:rStyle w:val="Style8"/>
          <w:b w:val="false"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№1,2,3,4 Таблицы 2): </w:t>
      </w:r>
    </w:p>
    <w:tbl>
      <w:tblPr>
        <w:tblStyle w:val="affffa"/>
        <w:tblW w:w="1527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0"/>
        <w:gridCol w:w="1984"/>
        <w:gridCol w:w="6521"/>
        <w:gridCol w:w="2158"/>
        <w:gridCol w:w="1955"/>
        <w:gridCol w:w="1805"/>
      </w:tblGrid>
      <w:tr>
        <w:trPr/>
        <w:tc>
          <w:tcPr>
            <w:tcW w:w="8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98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5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11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180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5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5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95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0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5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15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95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8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52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Основные нормативно-технические документы (НТД), определяющие требования к выполняемым Работам: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Style w:val="Style8"/>
                <w:rFonts w:eastAsia="Times New Roman" w:cs="Times New Roman"/>
                <w:b w:val="false"/>
                <w:bCs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ГОСТ Р 72193-2025 «Гидроэлектростанции и гидроаккумулирующие электростанции. Гидротехнические сооружения. Гидросиловое и механическое оборудование. Правила организации безопасного обслуживания» (</w:t>
            </w:r>
            <w:r>
              <w:rPr>
                <w:rStyle w:val="Style8"/>
                <w:rFonts w:eastAsia="Times New Roman" w:cs="Times New Roman"/>
                <w:bCs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приложение 2 к настоящим ТТ</w:t>
            </w:r>
            <w:r>
              <w:rPr>
                <w:rStyle w:val="Style8"/>
                <w:rFonts w:eastAsia="Times New Roman" w:cs="Times New Roman"/>
                <w:b w:val="false"/>
                <w:bCs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)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эксплуатации электроустановок (утв. приказом Министерства труда и социальной защиты Российской Федерации России от 15.12.2020 № 903н);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-Федеральный закон от 30.12.2009 г №384-Ф3 «Технический регламент о безопасности зданий и сооружений»;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(утв. приказом Ростехнадзора от 26.11.2020 № 461);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работе на высоте (утв. приказом Министерства труда и социальной защиты Российской Федерации России от 16.11.2020 № 782н);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работе с инструментом и приспособлениями (утв. приказом Министерства труда и социальной защиты Российской Федерации России от 27.11.2020 № 835н);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погрузочно-разгрузочных работах и размещении грузов (утверждены приказом Минтруда и социальной защиты РФ от 28.10.2020г. № 753н);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выполнении электросварочных и газосварочных работ (Приказ от 11 декабря 2020 г. N 884н);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противопожарного режима в Российской Федерации (утв. Постановлением Правительства РФ от 16.09.2020 № 1479);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строительстве, реконструкции и ремонте (Приказ Министерства труда и социальной защиты РФ от 11 декабря 2020 г. № 883н);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2.9.2.10.</w:t>
              <w:tab/>
              <w:t>СНиП 12-03-2001 «Безопасность труда в строительстве» ч.1,2;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«Правила организации технического обслуживания и ремонта объектов электроэнергетики» Приказ Минэнерго России (Министерства энергетики РФ) от 25 октября 2017 г. №1013;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Приказ Минтруда России от 15.12.2020 N 902н "Об утверждении Правил по охране труда при работе в ограниченных и замкнутых пространствах"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СО 153-34.20.501-2003 «Правила технической эксплуатации электрических станций и сетей РФ»;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Приказ Министерства строительства и жилищно-коммунального хозяйства Российской Федерации от 29.11.2022 г. № 1015/пр «Об утверждении состава и порядка ведения исполнительной документации при строительстве, реконструкции, капремонте объектов капстроительства»;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Инструкция по обращению с отходами производства и потребления (</w:t>
            </w:r>
            <w:r>
              <w:rPr>
                <w:rFonts w:eastAsia="Times New Roman" w:cs="Times New Roman"/>
                <w:b/>
                <w:bCs/>
                <w:i/>
                <w:kern w:val="0"/>
                <w:sz w:val="24"/>
                <w:szCs w:val="24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риложение 3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i/>
                <w:kern w:val="0"/>
                <w:sz w:val="24"/>
                <w:szCs w:val="24"/>
                <w:lang w:val="ru-RU" w:eastAsia="ru-RU" w:bidi="ar-SA"/>
              </w:rPr>
              <w:t>к настоящим ТТ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);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подрядчика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</w:t>
              <w:tab/>
              <w:t xml:space="preserve">Строительно-монтажные работы выполняются по акту-допуску в соответствии с </w:t>
            </w:r>
            <w:r>
              <w:rPr>
                <w:rStyle w:val="Style8"/>
                <w:rFonts w:eastAsia="Times New Roman" w:cs="Times New Roman"/>
                <w:b w:val="false"/>
                <w:bCs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ГОСТ Р 72193-2025 «Гидроэлектростанции и гидроаккумулирующие электростанции. Гидротехнические сооружения. Гидросиловое и механическое оборудование. Правила организации безопасного обслуживания»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Допуск персонала подрядчика к выполнению работ в соответствии с требованиями методики допуска персонала подрядных организаций к выполнению работ на объектах Общества, утвержденную приказом ПАО «РусГидро» от 04.02.2022 № 82 «Об утверждении Регламента процесса «Допуск персонала подрядных организаций на объекты ПАО «РусГидро». (</w:t>
            </w: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риложение 4 к настоящим ТТ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3. Письмо на допуск персонала подрядных организаций для производства работ на объектах Филиала ПАО «РусГидро» - «Загорская ГАЭС» направляется согласно  образца (</w:t>
            </w: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риложение 5 к настоящим ТТ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) не позднее чем за 5 рабочих дней до фактического приезда.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4. Пропуск персонала подрядных организаций осуществляется в соответствии с Положением о пропускном и внутриобъектовом режимах филиала ПАО «РусГидро» - «Загорская ГАЭС» (</w:t>
            </w: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приложение 6 к настоящим ТТ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). Письмо на пропуск персонала подрядных и субподрядных организаций направляется не позднее чем за 5 рабочих дней до фактического приезда в соответствии с образцами в приложениях 10 и 10а к Положению о пропускном и внутриобъектовом режимах филиала ПАО «РусГидро» - «Загорская ГАЭС».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5. Сканированные копии документов предоставлять согласно перечню и в сроки их предоставления Филиалу подрядной организацией (</w:t>
            </w: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приложение 7 к настоящим ТТ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6. В целях обеспечения безопасности при производстве строительно-монтажных работ по ремонту водосбросных лотков до начала производства работ основного периода на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каждой строительной площадке выполнить работы подготовительного периода.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7. Подготовку рабочих мест и допуск к выполнению работ выполняет персонал Подрядчика.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Организация производства работ</w:t>
            </w:r>
          </w:p>
        </w:tc>
        <w:tc>
          <w:tcPr>
            <w:tcW w:w="652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1. Организационно-технические мероприятия по допуску персонала 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подрядчика</w:t>
            </w: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 к выполнению работ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в соответствии с 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требованиями </w:t>
            </w:r>
            <w:r>
              <w:rPr>
                <w:rStyle w:val="Hyperlink"/>
                <w:rFonts w:eastAsia="Times New Roman" w:cs="Times New Roman"/>
                <w:i/>
                <w:color w:val="000000" w:themeColor="text1"/>
                <w:kern w:val="0"/>
                <w:sz w:val="24"/>
                <w:szCs w:val="24"/>
                <w:u w:val="none"/>
                <w:lang w:val="ru-RU" w:eastAsia="ru-RU" w:bidi="ar-SA"/>
              </w:rPr>
              <w:t>Правил по охране труда при эксплуатации электроустановок (при работе на территории действующих электроустановок),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2. Разработка, согласование с Заказчиком проекта производства работ (далее - ППР).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3. </w:t>
            </w:r>
            <w:r>
              <w:rPr>
                <w:rStyle w:val="Hyperlink"/>
                <w:rFonts w:eastAsia="Times New Roman" w:cs="Times New Roman"/>
                <w:i/>
                <w:color w:val="000000" w:themeColor="text1"/>
                <w:kern w:val="0"/>
                <w:sz w:val="24"/>
                <w:szCs w:val="24"/>
                <w:u w:val="none"/>
                <w:lang w:val="ru-RU" w:eastAsia="ru-RU" w:bidi="ar-SA"/>
              </w:rPr>
              <w:t>Производство работ осуществляется в условиях действующего предприятия.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4.</w:t>
            </w:r>
            <w:r>
              <w:rPr>
                <w:rStyle w:val="Hyperlink"/>
                <w:rFonts w:eastAsia="Times New Roman" w:cs="Times New Roman"/>
                <w:b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 </w:t>
            </w: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Образовавшиеся в процессе выполнения работ отходы Подрядчик временно накапливает в месте производства работ в соответствии с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Федерации, а также требованиями, установленными локальной нормативной документацией в области обращения с отходами Заказчика (инструкциями, положениями и др.).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5.</w:t>
              <w:tab/>
              <w:t>По окончании работ Подрядчик перемещает временно накопленные на месте производства работ отходы в указанные Заказчиком места накопления отходов на его территории.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6.</w:t>
              <w:tab/>
              <w:t>Образовавшиеся в процессе производства работ отходы, подлежащие передаче специализированным организациям для обезвреживания и утилизации (металлический лом, отработанные технические масла и др.) являются собственностью Заказчика и подлежат удалению самим Заказчиком.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7.</w:t>
              <w:tab/>
              <w:t>Отходы, образующиеся в результате деятельности Подрядчика, не связанной с исполнением работ, в том числе отходы, образующиеся в процессе административно-хозяйственной деятельности персонала Подрядчика на территории Филиала, являются собственностью Подрядчика. Деятельность по обращению с такими отходами, а также связанная с этим ответственность, является обязанностью Подрядчика.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8.</w:t>
              <w:tab/>
              <w:t>Не допускается накопление отходов сверх объема, который вмещает место накопления отходов.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9.</w:t>
              <w:tab/>
              <w:t>Подрядчик обеспечивает своевременное удаление образовавшихся в процессе производства работ отходов из мест накопления отходов на территории Заказчика на объекты размещения/захоронения отходов, за исключением отходов, подлежащих обезвреживанию и утилизации, по Договорам Заказчика в соответствии с требованиями законодательства РФ. При этом затраты на погрузку и транспортирование отходов на объекты размещения/захоронения отходов включаются в смету затрат по договору. Количество (тонн), класс опасности отходов указывается в ведомости объема работ по договору.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10.</w:t>
              <w:tab/>
              <w:t>Персонал Подрядчика обеспечивает поддержание чистоты в местах производства работ (на рабочих местах), своевременную уборку указанной (выделенной) Заказчиком площадки производства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11.</w:t>
              <w:tab/>
              <w:t>Подрядчик при выполнении работ обеспечивает соблюдение санитарных требований и требований в области охраны окружающей среды к обращению с отходами, установленных законодательством Российской Федерации законодательства.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12.</w:t>
              <w:tab/>
              <w:t>Оформление исполнительной документации.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>
              <w:top w:val="nil"/>
            </w:tcBorders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‍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652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Исполнитель должен иметь лицензию МЧС на деятельность по монтажу заполнений проёмов в противопожарных преградах в соответствии с требованиями п. 15 ч. 1 ст. 12 ФЗ № 99 «О лицензировании отдельных видов деятельности», а также п. 8 Перечня из Постановления Правительства РФ № 1128.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5" w:type="dxa"/>
            <w:tcBorders>
              <w:top w:val="nil"/>
            </w:tcBorders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0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1477" w:hRule="atLeast"/>
        </w:trPr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en-US" w:eastAsia="ru-RU" w:bidi="ar-SA"/>
              </w:rPr>
              <w:t>Требования к составу материалов</w:t>
            </w:r>
          </w:p>
        </w:tc>
        <w:tc>
          <w:tcPr>
            <w:tcW w:w="65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0" w:hanging="0"/>
              <w:contextualSpacing/>
              <w:jc w:val="both"/>
              <w:rPr>
                <w:i/>
                <w:i/>
              </w:rPr>
            </w:pPr>
            <w:r>
              <w:rPr>
                <w:rFonts w:cs="Times New Roman"/>
                <w:i/>
                <w:kern w:val="0"/>
                <w:lang w:val="ru-RU" w:eastAsia="ru-RU" w:bidi="ar-SA"/>
              </w:rPr>
              <w:t>Материалы, необходимые для выполнения работ по ремонту закупаются Подрядчиком в соответствии с п.5 табл.4 настоящих требований 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31" w:hanging="0"/>
              <w:contextualSpacing/>
              <w:jc w:val="both"/>
              <w:rPr>
                <w:i/>
                <w:i/>
              </w:rPr>
            </w:pPr>
            <w:r>
              <w:rPr>
                <w:rFonts w:cs="Times New Roman"/>
                <w:i/>
                <w:kern w:val="0"/>
                <w:lang w:val="ru-RU" w:eastAsia="ru-RU" w:bidi="ar-SA"/>
              </w:rPr>
              <w:t>Все поставляемые и применяемые материалы должны быть новыми и не использованными ранее.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3. Противопожарные двери должны иметь сертификаты о </w:t>
            </w:r>
            <w:r>
              <w:rPr>
                <w:rFonts w:eastAsia="Times New Roman" w:cs="Times New Roman"/>
                <w:i/>
                <w:color w:val="auto"/>
                <w:kern w:val="0"/>
                <w:sz w:val="24"/>
                <w:szCs w:val="24"/>
                <w:lang w:val="ru-RU" w:eastAsia="ru-RU" w:bidi="ar-SA"/>
              </w:rPr>
              <w:t>соответствии требованиям пожарной безопасности и паспорта.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en-US" w:eastAsia="ru-RU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0"/>
                <w:szCs w:val="20"/>
                <w:lang w:val="en-US" w:eastAsia="ru-RU" w:bidi="ar-SA"/>
              </w:rPr>
              <w:t>Предоставление перечня материалов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Подрядчик должен обеспечить </w:t>
            </w:r>
            <w:r>
              <w:rPr>
                <w:rFonts w:eastAsia="Times New Roman" w:cs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входной контроль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 поступающих материалов и запасных частей,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60"/>
              <w:ind w:left="170" w:hanging="170"/>
              <w:contextualSpacing w:val="false"/>
              <w:jc w:val="both"/>
              <w:rPr>
                <w:rFonts w:eastAsia="Times New Roman"/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наличия маркировки, сохранности упаковки, наличия и сохранности защитных и окрасочных покрытий.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Результаты входного контроля оформить в журнал. Типовая форма журнала входного контроля и контроля качества получаемых деталей, материалов, изделий, конструкций и оборудования, утверждённая Приказом Минстроя России от 27 декабря 2024 года №950/пр.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en-US" w:eastAsia="ru-RU" w:bidi="ar-SA"/>
              </w:rPr>
              <w:t>К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онтроль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en-US" w:eastAsia="ru-RU" w:bidi="ar-SA"/>
              </w:rPr>
              <w:t xml:space="preserve"> качества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 выполняемых работ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Операционный контроль строительных процессов и производственных операций при производстве общестроительных работ.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Контроль соблюдения технологии производства общестроительных работ.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1. Работы выполняются в соответствии с НТД, указанными в п. 1.1.1. настоящей таблицы требований.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2. Работы выполняются в соответствии с согласованным и утвержденным проектом производства работ (ППР).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8" w:hanging="0"/>
              <w:jc w:val="both"/>
              <w:rPr>
                <w:rStyle w:val="Hyperlink"/>
                <w:i/>
                <w:i/>
                <w:color w:val="auto"/>
                <w:sz w:val="24"/>
                <w:szCs w:val="24"/>
                <w:u w:val="none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3. Все работники, руководители и специалисты должны быть обеспечены своим работодателем средствами индивидуальной защиты (СИЗ) в соответствии с типовыми нормами. </w:t>
            </w:r>
            <w:r>
              <w:rPr>
                <w:rStyle w:val="Hyperlink"/>
                <w:rFonts w:eastAsia="Times New Roman" w:cs="Times New Roman"/>
                <w:i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При выполнении работ персонал должен применять СИЗ в обязательном порядке без исключений.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8" w:hanging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4. Обеспечение техники безопасности при проведении работ – 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8" w:hanging="0"/>
              <w:jc w:val="both"/>
              <w:rPr>
                <w:i/>
                <w:i/>
                <w:color w:val="0000FF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5. Инженерная подготовка и оборудование рабочей площадки, монтаж ограждений, переходов, лестниц и т.д. в соответствии с ППР на выполнение соответствующего вида ремонтных работ.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Calibri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Замена дверей в здании СПК на противопожарные в количестве 10 шт.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57" w:hanging="0"/>
              <w:jc w:val="both"/>
              <w:rPr>
                <w:bCs/>
                <w:i/>
                <w:i/>
                <w:sz w:val="24"/>
                <w:szCs w:val="24"/>
              </w:rPr>
            </w:pPr>
            <w:bookmarkStart w:id="30" w:name="_Toc65566093"/>
            <w:bookmarkStart w:id="31" w:name="_Toc45886481"/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Требования к предоставлению исполнительной документации</w:t>
            </w:r>
            <w:bookmarkEnd w:id="30"/>
            <w:bookmarkEnd w:id="31"/>
          </w:p>
        </w:tc>
        <w:tc>
          <w:tcPr>
            <w:tcW w:w="652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suppressAutoHyphens w:val="true"/>
              <w:spacing w:before="0" w:after="0"/>
              <w:ind w:left="72" w:hanging="0"/>
              <w:jc w:val="both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>В соответствии с «Правилами организации технического обслуживания и ремонта объектов электроэнергетики» утверждены приказом МЭ России от 25.10.2017г.  №1013 (далее Правила организации ТОиР).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Style w:val="Style8"/>
                <w:i w:val="false"/>
                <w:i w:val="false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381" w:hRule="atLeast"/>
        </w:trPr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en-US" w:eastAsia="ru-RU" w:bidi="ar-SA"/>
              </w:rPr>
              <w:t>Конструктивные решения</w:t>
            </w:r>
          </w:p>
        </w:tc>
        <w:tc>
          <w:tcPr>
            <w:tcW w:w="65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 xml:space="preserve">Конструктивные решения должны быть реализованы в соответствии с </w:t>
            </w:r>
            <w:r>
              <w:rPr>
                <w:rFonts w:eastAsia="Calibri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>ВОР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both"/>
              <w:outlineLvl w:val="2"/>
              <w:rPr>
                <w:b w:val="false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616" w:hRule="atLeast"/>
        </w:trPr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ППР</w:t>
            </w:r>
          </w:p>
        </w:tc>
        <w:tc>
          <w:tcPr>
            <w:tcW w:w="65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sz w:val="24"/>
                <w:szCs w:val="24"/>
                <w:lang w:val="ru-RU" w:eastAsia="ru-RU" w:bidi="ar-SA"/>
              </w:rPr>
              <w:t>Подрядчик разрабатывает ППР, Заказчик согласовывает и утвержлает до начала раьбот.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both"/>
              <w:outlineLvl w:val="2"/>
              <w:rPr>
                <w:b w:val="false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Требования к составу документации, передаваемой Заказчику по окончании работ</w:t>
            </w:r>
          </w:p>
        </w:tc>
        <w:tc>
          <w:tcPr>
            <w:tcW w:w="652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Представить Заказчику отчётную исполнительную документацию в соответствии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Приказом Министерства строительства и жилищно-коммунального хозяйства Российской Федерации от 29.11.2022 г. № 1015/пр «Об утверждении состава и порядка ведения исполнительной документации при строительстве, реконструкции, капремонте объектов капстроительства»;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>«Правилами организации ТОиР» утвержденными приказом МЭ России от 25.10.2017г.  №1013.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Отчётные документы, исполнительную документацию в полном объеме по ремонтам представить в оригинале на бумажном носителе в 1 экземпляре, на электронном носителе в 1 экземпляре в редактируемых форматах *.dwg, *.vsd, *.dос, *.хls и в сканированном виде в формте *pdf, с цветными печатями и подписями.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Срок гарантии на результаты работ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Срок гарантии на Результаты работ составляют 3 года  с даты подписания Акта о приемке выполненных работ КС-2.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8505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12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4.1.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65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5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1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</w:tr>
      <w:tr>
        <w:trPr/>
        <w:tc>
          <w:tcPr>
            <w:tcW w:w="850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cs="Times New Roman"/>
                <w:b/>
                <w:bCs/>
                <w:color w:val="000000" w:themeColor="text1"/>
                <w:kern w:val="0"/>
                <w:lang w:val="ru-RU" w:eastAsia="ru-RU" w:bidi="ar-SA"/>
              </w:rPr>
              <w:t>5.</w:t>
            </w:r>
          </w:p>
        </w:tc>
        <w:tc>
          <w:tcPr>
            <w:tcW w:w="8505" w:type="dxa"/>
            <w:gridSpan w:val="2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материалам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120"/>
              <w:jc w:val="left"/>
              <w:rPr>
                <w:b/>
                <w:bCs/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‍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5.1</w:t>
            </w:r>
          </w:p>
        </w:tc>
        <w:tc>
          <w:tcPr>
            <w:tcW w:w="8505" w:type="dxa"/>
            <w:gridSpan w:val="2"/>
            <w:tcBorders>
              <w:top w:val="nil"/>
            </w:tcBorders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Текущий ремонт помещений здания ГАЭС Загорской ГАЭС в части замены дверей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55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805" w:type="dxa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12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‍</w:t>
            </w: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5.1.1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both"/>
              <w:rPr>
                <w:rFonts w:eastAsia="Calibri"/>
                <w:i/>
                <w:i/>
                <w:i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i/>
                <w:iCs/>
                <w:kern w:val="0"/>
                <w:sz w:val="24"/>
                <w:szCs w:val="24"/>
                <w:lang w:val="en-US" w:eastAsia="ru-RU" w:bidi="ar-SA"/>
              </w:rPr>
              <w:t>Штукатурка</w:t>
            </w:r>
          </w:p>
        </w:tc>
        <w:tc>
          <w:tcPr>
            <w:tcW w:w="6521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Время схватывания штукатурки не менее 80-90 минут;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влагостойкая;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цвет белый;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Теплопроводность не более 0,23 Вт/м °С;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Адгезия не менее 3 кг/см2;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Прочность на сжатие не ниже 25 кг/см2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Свойства – устойчивость к трещинам, долговечность, экологическая безопасность (подтверждается сертификатом соответствия требованиям стандарта ISO 14024)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Особенность – гипсовая, для машинного нанесения</w:t>
            </w:r>
          </w:p>
        </w:tc>
        <w:tc>
          <w:tcPr>
            <w:tcW w:w="2158" w:type="dxa"/>
            <w:vMerge w:val="restart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0"/>
              <w:ind w:left="0" w:hanging="0"/>
              <w:contextualSpacing/>
              <w:jc w:val="center"/>
              <w:rPr>
                <w:i/>
                <w:i/>
                <w:iCs/>
                <w:lang w:val="en-US"/>
              </w:rPr>
            </w:pPr>
            <w:r>
              <w:rPr>
                <w:rFonts w:cs="Times New Roman"/>
                <w:i/>
                <w:iCs/>
                <w:kern w:val="0"/>
                <w:lang w:val="en-US" w:eastAsia="ru-RU" w:bidi="ar-SA"/>
              </w:rPr>
              <w:t>-</w:t>
            </w:r>
          </w:p>
        </w:tc>
        <w:tc>
          <w:tcPr>
            <w:tcW w:w="1955" w:type="dxa"/>
            <w:vMerge w:val="restart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0"/>
              <w:ind w:left="0" w:hanging="0"/>
              <w:contextualSpacing/>
              <w:jc w:val="both"/>
              <w:rPr>
                <w:i/>
                <w:i/>
                <w:iCs/>
                <w:lang w:val="en-US"/>
              </w:rPr>
            </w:pPr>
            <w:r>
              <w:rPr>
                <w:rFonts w:cs="Times New Roman"/>
                <w:i/>
                <w:iCs/>
                <w:kern w:val="0"/>
                <w:lang w:val="en-US" w:eastAsia="ru-RU" w:bidi="ar-SA"/>
              </w:rPr>
              <w:t>Предоставление перечня материалов</w:t>
            </w:r>
          </w:p>
        </w:tc>
        <w:tc>
          <w:tcPr>
            <w:tcW w:w="1805" w:type="dxa"/>
            <w:vMerge w:val="restart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0"/>
              <w:ind w:left="0" w:hanging="0"/>
              <w:contextualSpacing/>
              <w:jc w:val="center"/>
              <w:rPr>
                <w:i/>
                <w:i/>
                <w:iCs/>
                <w:lang w:val="en-US"/>
              </w:rPr>
            </w:pPr>
            <w:r>
              <w:rPr>
                <w:rFonts w:cs="Times New Roman"/>
                <w:i/>
                <w:iCs/>
                <w:kern w:val="0"/>
                <w:lang w:val="en-US" w:eastAsia="ru-RU" w:bidi="ar-SA"/>
              </w:rPr>
              <w:t>-</w:t>
            </w:r>
          </w:p>
        </w:tc>
      </w:tr>
      <w:tr>
        <w:trPr/>
        <w:tc>
          <w:tcPr>
            <w:tcW w:w="850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12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‍</w:t>
            </w: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5.1.2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both"/>
              <w:rPr>
                <w:rFonts w:eastAsia="Calibri"/>
                <w:i/>
                <w:i/>
                <w:i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i/>
                <w:iCs/>
                <w:kern w:val="0"/>
                <w:sz w:val="24"/>
                <w:szCs w:val="24"/>
                <w:lang w:val="en-US" w:eastAsia="ru-RU" w:bidi="ar-SA"/>
              </w:rPr>
              <w:t>Противопожарный дверной блок</w:t>
            </w:r>
          </w:p>
        </w:tc>
        <w:tc>
          <w:tcPr>
            <w:tcW w:w="6521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 xml:space="preserve">Класс не менее </w:t>
            </w:r>
            <w:r>
              <w:rPr>
                <w:rFonts w:eastAsia="Times New Roman" w:cs="Times New Roman"/>
                <w:i/>
                <w:iCs/>
                <w:kern w:val="0"/>
                <w:lang w:val="en-US" w:eastAsia="ru-RU" w:bidi="ar-SA"/>
              </w:rPr>
              <w:t>EI</w:t>
            </w: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-60, цвет серый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60" w:after="0"/>
              <w:contextualSpacing/>
              <w:jc w:val="both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en-US" w:eastAsia="ru-RU" w:bidi="ar-SA"/>
              </w:rPr>
              <w:t>Толщина стали не менее 2,5</w:t>
            </w:r>
          </w:p>
        </w:tc>
        <w:tc>
          <w:tcPr>
            <w:tcW w:w="2158" w:type="dxa"/>
            <w:vMerge w:val="continue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0"/>
              <w:ind w:left="0" w:hanging="0"/>
              <w:contextualSpacing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55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805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12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‍</w:t>
            </w: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5.1.3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4"/>
                <w:szCs w:val="24"/>
                <w:lang w:val="en-US" w:eastAsia="ru-RU" w:bidi="ar-SA"/>
              </w:rPr>
              <w:t>Противопожарный оконный блок</w:t>
            </w:r>
          </w:p>
        </w:tc>
        <w:tc>
          <w:tcPr>
            <w:tcW w:w="6521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before="60" w:after="0"/>
              <w:contextualSpacing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4"/>
                <w:szCs w:val="24"/>
                <w:lang w:val="en-US" w:eastAsia="ru-RU" w:bidi="ar-SA"/>
              </w:rPr>
              <w:t xml:space="preserve">Класс не менее </w:t>
            </w: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en-US" w:eastAsia="ru-RU" w:bidi="ar-SA"/>
              </w:rPr>
              <w:t>EI</w:t>
            </w: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-60</w:t>
            </w:r>
            <w:r>
              <w:rPr>
                <w:rFonts w:eastAsia="Calibri" w:cs="Times New Roman"/>
                <w:i/>
                <w:iCs/>
                <w:color w:val="auto"/>
                <w:kern w:val="0"/>
                <w:sz w:val="24"/>
                <w:szCs w:val="24"/>
                <w:lang w:val="en-US" w:eastAsia="ru-RU" w:bidi="ar-SA"/>
              </w:rPr>
              <w:t>.</w:t>
            </w:r>
          </w:p>
        </w:tc>
        <w:tc>
          <w:tcPr>
            <w:tcW w:w="2158" w:type="dxa"/>
            <w:vMerge w:val="continue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0"/>
              <w:ind w:left="0" w:hanging="0"/>
              <w:contextualSpacing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55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805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sectPr>
          <w:headerReference w:type="default" r:id="rId5"/>
          <w:type w:val="nextPage"/>
          <w:pgSz w:orient="landscape" w:w="16838" w:h="11906"/>
          <w:pgMar w:left="992" w:right="567" w:gutter="0" w:header="680" w:top="850" w:footer="0" w:bottom="851"/>
          <w:pgNumType w:fmt="decimal"/>
          <w:formProt w:val="false"/>
          <w:textDirection w:val="lrTb"/>
          <w:docGrid w:type="default" w:linePitch="381" w:charSpace="0"/>
        </w:sectPr>
      </w:pPr>
      <w:r>
        <w:br w:type="page"/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Next w:val="false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32" w:name="_Toc54646413"/>
      <w:bookmarkStart w:id="33" w:name="_Toc46743519"/>
      <w:bookmarkStart w:id="34" w:name="_Toc51339699"/>
      <w:r>
        <w:rPr>
          <w:iCs/>
        </w:rPr>
        <w:t>Приложения</w:t>
      </w:r>
      <w:bookmarkEnd w:id="32"/>
      <w:bookmarkEnd w:id="33"/>
      <w:bookmarkEnd w:id="34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rStyle w:val="Style8"/>
          <w:b w:val="false"/>
          <w:bCs/>
          <w:iCs/>
          <w:sz w:val="24"/>
          <w:szCs w:val="24"/>
        </w:rPr>
      </w:pPr>
      <w:r>
        <w:rPr>
          <w:b w:val="false"/>
          <w:bCs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rStyle w:val="Style8"/>
          <w:b w:val="false"/>
          <w:bCs/>
          <w:iCs/>
          <w:sz w:val="24"/>
          <w:szCs w:val="24"/>
        </w:rPr>
      </w:pPr>
      <w:r>
        <w:rPr>
          <w:bCs/>
          <w:i/>
          <w:sz w:val="24"/>
          <w:szCs w:val="24"/>
        </w:rPr>
        <w:t xml:space="preserve">Приложение № 1: </w:t>
      </w:r>
      <w:r>
        <w:rPr>
          <w:rFonts w:eastAsia="Calibri"/>
          <w:bCs/>
          <w:i/>
          <w:sz w:val="24"/>
          <w:szCs w:val="24"/>
        </w:rPr>
        <w:t>ВОР «Замена дверных блоков в здании СПК Загорской ГАЭС»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Приложение № 2: </w:t>
      </w:r>
      <w:r>
        <w:rPr>
          <w:rStyle w:val="Style8"/>
          <w:b w:val="false"/>
          <w:bCs/>
          <w:iCs/>
          <w:sz w:val="24"/>
          <w:szCs w:val="24"/>
          <w:shd w:fill="auto" w:val="clear"/>
        </w:rPr>
        <w:t>ГОСТ Р 72193-2025 «Гидроэлектростанции и гидроаккумулирующие электростанции. Гидротехнические сооружения. Гидросиловое и механическое оборудование. Правила организации безопасного обслуживания»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rPr>
          <w:rStyle w:val="Style8"/>
          <w:b w:val="false"/>
          <w:bCs/>
          <w:iCs/>
          <w:sz w:val="24"/>
          <w:szCs w:val="24"/>
        </w:rPr>
      </w:pPr>
      <w:r>
        <w:rPr>
          <w:bCs/>
          <w:i/>
          <w:sz w:val="24"/>
          <w:szCs w:val="24"/>
        </w:rPr>
        <w:t xml:space="preserve">Приложение № 3: </w:t>
      </w:r>
      <w:r>
        <w:rPr>
          <w:i/>
          <w:sz w:val="24"/>
          <w:szCs w:val="24"/>
        </w:rPr>
        <w:t xml:space="preserve">Инструкция по обращению с отходами производства и потребления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Приложение № 4: Методика допуска персонала подрядных организаций к выполнению работ на объектах Общества, утвержденную приказом ПАО «РусГидро» от 04.02.2022 № 82 «Об утверждении Регламента процесса «Допуск персонала подрядных организаций на объекты ПАО «РусГидро»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Приложение № 5: Образец письма на допуск персонала подрядных организаций для производства работ на объектах Филиала ПАО «РусГидро» - «Загорская ГАЭС»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Приложение № 6: Положением о пропускном и внутриобъектовом режимах филиала ПАО «РусГидро» - «Загорская ГАЭС», утвержденное </w:t>
      </w:r>
      <w:r>
        <w:rPr>
          <w:i/>
          <w:iCs/>
          <w:sz w:val="24"/>
          <w:szCs w:val="24"/>
          <w:lang w:eastAsia="en-US"/>
        </w:rPr>
        <w:t xml:space="preserve">приказом Филиала ПАО «РусГидро» - </w:t>
      </w:r>
      <w:r>
        <w:rPr>
          <w:sz w:val="24"/>
          <w:szCs w:val="24"/>
          <w:lang w:eastAsia="en-US"/>
        </w:rPr>
        <w:t xml:space="preserve">«Загорская ГАЭС» </w:t>
      </w:r>
      <w:r>
        <w:rPr>
          <w:i/>
          <w:iCs/>
          <w:sz w:val="24"/>
          <w:szCs w:val="24"/>
          <w:lang w:eastAsia="en-US"/>
        </w:rPr>
        <w:t>от 18.09.2024 № ЗГАЭС/83-830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Приложение № 7: Перечень сканированных копий документов и сроки их предоставления Филиалу подрядной организацией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1843" w:hanging="1843"/>
        <w:rPr>
          <w:i/>
          <w:i/>
          <w:iCs/>
          <w:sz w:val="24"/>
          <w:szCs w:val="24"/>
        </w:rPr>
      </w:pPr>
      <w:r>
        <w:rPr/>
      </w:r>
    </w:p>
    <w:sectPr>
      <w:headerReference w:type="default" r:id="rId6"/>
      <w:headerReference w:type="first" r:id="rId7"/>
      <w:type w:val="nextPage"/>
      <w:pgSz w:w="11906" w:h="16838"/>
      <w:pgMar w:left="850" w:right="851" w:gutter="0" w:header="680" w:top="737" w:footer="0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3"/>
    <w:lvlOverride w:ilvl="0">
      <w:startOverride w:val="1"/>
    </w:lvlOverride>
  </w:num>
  <w:num w:numId="18">
    <w:abstractNumId w:val="13"/>
  </w:num>
  <w:num w:numId="19">
    <w:abstractNumId w:val="13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20"/>
  <w:revisionView w:insDel="0" w:formatting="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Linenumber1" w:customStyle="1">
    <w:name w:val="line number1"/>
    <w:basedOn w:val="DefaultParagraphFont"/>
    <w:semiHidden/>
    <w:unhideWhenUsed/>
    <w:qFormat/>
    <w:rsid w:val="008823c2"/>
    <w:rPr/>
  </w:style>
  <w:style w:type="character" w:styleId="Style14" w:customStyle="1">
    <w:name w:val="Ссылка указателя"/>
    <w:qFormat/>
    <w:rPr/>
  </w:style>
  <w:style w:type="character" w:styleId="Linenumber2" w:customStyle="1">
    <w:name w:val="line number2"/>
    <w:qFormat/>
    <w:rPr/>
  </w:style>
  <w:style w:type="character" w:styleId="FollowedHyperlink">
    <w:name w:val="FollowedHyperlink"/>
    <w:rPr>
      <w:color w:val="800000"/>
      <w:u w:val="single"/>
    </w:rPr>
  </w:style>
  <w:style w:type="character" w:styleId="Linenumber3" w:customStyle="1">
    <w:name w:val="line number3"/>
    <w:qFormat/>
    <w:rPr/>
  </w:style>
  <w:style w:type="character" w:styleId="Linenumber4" w:customStyle="1">
    <w:name w:val="line number4"/>
    <w:qFormat/>
    <w:rPr/>
  </w:style>
  <w:style w:type="character" w:styleId="Linenumber5">
    <w:name w:val="line number5"/>
    <w:qFormat/>
    <w:rPr/>
  </w:style>
  <w:style w:type="character" w:styleId="Style15" w:customStyle="1">
    <w:name w:val="Символ нумерации"/>
    <w:qFormat/>
    <w:rPr/>
  </w:style>
  <w:style w:type="character" w:styleId="LineNumber">
    <w:name w:val="Line Number"/>
    <w:rPr/>
  </w:style>
  <w:style w:type="character" w:styleId="Style16">
    <w:name w:val="Текст выноски Знак"/>
    <w:basedOn w:val="DefaultParagraphFont"/>
    <w:qFormat/>
    <w:rPr>
      <w:rFonts w:ascii="Segoe UI" w:hAnsi="Segoe UI" w:eastAsia="Times New Roman" w:cs="Segoe UI"/>
      <w:sz w:val="18"/>
      <w:szCs w:val="18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" w:customStyle="1">
    <w:name w:val="caption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4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HEADERTEXT">
    <w:name w:val=".HEADERTEX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2B4279"/>
      <w:kern w:val="0"/>
      <w:sz w:val="20"/>
      <w:szCs w:val="20"/>
      <w:lang w:val="ru-RU" w:eastAsia="ru-RU" w:bidi="ar-SA"/>
    </w:rPr>
  </w:style>
  <w:style w:type="paragraph" w:styleId="FORMATTEXT">
    <w:name w:val=".FORMATTEX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123" w:customStyle="1">
    <w:name w:val="Нумерованный 123"/>
    <w:qFormat/>
  </w:style>
  <w:style w:type="numbering" w:styleId="5136283541">
    <w:name w:val="5136283541"/>
    <w:qFormat/>
  </w:style>
  <w:style w:type="numbering" w:styleId="32664478391">
    <w:name w:val="3266447839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e">
    <w:name w:val="Сетка таблицы2"/>
    <w:basedOn w:val="a5"/>
    <w:rsid w:val="001c57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D4B85-CEF9-47C8-8DFD-566708D03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3587</TotalTime>
  <Application>AlterOffice/3.4.0.9$Linux_X86_64 LibreOffice_project/b8daf9e823b1a5463a2f48435ddc2e8696e7d4fc</Application>
  <AppVersion>15.0000</AppVersion>
  <Pages>16</Pages>
  <Words>2615</Words>
  <Characters>17585</Characters>
  <CharactersWithSpaces>19837</CharactersWithSpaces>
  <Paragraphs>341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2023-07-27T11:06:00Z</dcterms:created>
  <dc:creator>Быстров Олег Геннадьевич</dc:creator>
  <dc:description/>
  <dc:language>ru-RU</dc:language>
  <cp:lastModifiedBy>Евгений Игоревич Украинцев</cp:lastModifiedBy>
  <cp:lastPrinted>2006-07-26T14:04:00Z</cp:lastPrinted>
  <dcterms:modified xsi:type="dcterms:W3CDTF">2026-07-08T10:35:10Z</dcterms:modified>
  <cp:revision>129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